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35550E">
      <w:bookmarkStart w:id="0" w:name="_GoBack"/>
      <w:bookmarkEnd w:id="0"/>
      <w:r>
        <w:rPr>
          <w:b/>
          <w:bCs/>
        </w:rPr>
        <w:t>黄金投资者每周更新：2025年11月21日</w:t>
      </w:r>
      <w:r>
        <w:br w:type="textWrapping"/>
      </w:r>
      <w:r>
        <w:t>Chris Rutherglen 博士</w:t>
      </w:r>
      <w:r>
        <w:br w:type="textWrapping"/>
      </w:r>
      <w:r>
        <w:t>2025年11月21日</w:t>
      </w:r>
      <w:r>
        <w:br w:type="textWrapping"/>
      </w:r>
      <w:r>
        <w:t>∙ 付费内容</w:t>
      </w:r>
    </w:p>
    <w:p w14:paraId="1F0CC53E">
      <w:r>
        <w:t>黄金在周一的期权到期日有可能从盘整形态中向下跌破。如果发生这种情况，我们应将其视为一次“假跌破”，大概率会迅速反转。</w:t>
      </w:r>
    </w:p>
    <w:p w14:paraId="47F7961E">
      <w:r>
        <w:t xml:space="preserve">黄金的下行目标仍然在 </w:t>
      </w:r>
      <w:r>
        <w:rPr>
          <w:b/>
          <w:bCs/>
        </w:rPr>
        <w:t>3,900 至 4,000 美元</w:t>
      </w:r>
      <w:r>
        <w:t>区间。</w:t>
      </w:r>
    </w:p>
    <w:p w14:paraId="0046D864">
      <w:r>
        <w:t>黄金看涨期权交易量增加，同时看跌期权活动下降，显示黄金市场存在潜在的内在强势。</w:t>
      </w:r>
    </w:p>
    <w:p w14:paraId="38E81F7D">
      <w:r>
        <w:t>本周黄金多次尝试从盘整三角形结构中向下突破，但均未成功。同时，黄金市场的内在强势持续增强。</w:t>
      </w:r>
    </w:p>
    <w:p w14:paraId="3C0CC9DD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1A90823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4381500"/>
            <wp:effectExtent l="0" t="0" r="7620" b="0"/>
            <wp:docPr id="38353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38427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1</w:t>
      </w:r>
    </w:p>
    <w:p w14:paraId="5CAA1349">
      <w:r>
        <w:t>截至周四，黄金的 max-pain（最大痛点价）上升了 25 美元，而 ΔIV 已下降至 116 亿美元，从而缓解了部分期权相关的累积压力。但该值仍然偏高。</w:t>
      </w:r>
    </w:p>
    <w:p w14:paraId="03B2B8EE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A6D3B07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070860"/>
            <wp:effectExtent l="0" t="0" r="7620" b="0"/>
            <wp:docPr id="5917050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05047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2</w:t>
      </w:r>
    </w:p>
    <w:p w14:paraId="4B7E8111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F2A3707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28360" cy="3627120"/>
            <wp:effectExtent l="0" t="0" r="0" b="0"/>
            <wp:docPr id="9682566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56667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3</w:t>
      </w:r>
    </w:p>
    <w:p w14:paraId="218DD6D2">
      <w:r>
        <w:t>在周四（11 月 20 日）的交易中，黄金矿业股暗示黄金可能面临压力——GDX 矿业股指数当天下跌了 4%（见图 4），而金价本身保持不变。尽管金价在周五（11 月 21 日）早盘下跌，但跌幅不足以使其跌破盘整形态（如图 1 所示）。</w:t>
      </w:r>
    </w:p>
    <w:p w14:paraId="5976F082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2F58A3C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4381500"/>
            <wp:effectExtent l="0" t="0" r="7620" b="0"/>
            <wp:docPr id="3405870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87015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4</w:t>
      </w:r>
    </w:p>
    <w:p w14:paraId="60C505EC">
      <w:r>
        <w:t>进入下周一的期权到期日，金价仍面临下行压力的风险。若跌破盘整三角形，可能引发一波快速的抛售，使市场认同短期更低的价格。</w:t>
      </w:r>
    </w:p>
    <w:p w14:paraId="01811EAE">
      <w:r>
        <w:t>参考之前的期权到期下跌幅度：</w:t>
      </w:r>
      <w:r>
        <w:br w:type="textWrapping"/>
      </w:r>
      <w:r>
        <w:t xml:space="preserve">i) </w:t>
      </w:r>
      <w:r>
        <w:rPr>
          <w:b/>
          <w:bCs/>
        </w:rPr>
        <w:t>2024 年 11 月 25 日</w:t>
      </w:r>
      <w:r>
        <w:t xml:space="preserve">（Dec’24 到期），现货黄金当日下跌 </w:t>
      </w:r>
      <w:r>
        <w:rPr>
          <w:b/>
          <w:bCs/>
        </w:rPr>
        <w:t>3.2%</w:t>
      </w:r>
      <w:r>
        <w:t>；</w:t>
      </w:r>
      <w:r>
        <w:br w:type="textWrapping"/>
      </w:r>
      <w:r>
        <w:t xml:space="preserve">ii) </w:t>
      </w:r>
      <w:r>
        <w:rPr>
          <w:b/>
          <w:bCs/>
        </w:rPr>
        <w:t>2025 年 5 月 27 日</w:t>
      </w:r>
      <w:r>
        <w:t xml:space="preserve">（Jun’25 到期），现货黄金下跌 </w:t>
      </w:r>
      <w:r>
        <w:rPr>
          <w:b/>
          <w:bCs/>
        </w:rPr>
        <w:t>1.3%</w:t>
      </w:r>
      <w:r>
        <w:t>。</w:t>
      </w:r>
    </w:p>
    <w:p w14:paraId="5182BAEC">
      <w:r>
        <w:t xml:space="preserve">以周五收盘价估算，类似跌幅对应的金价分别为约 </w:t>
      </w:r>
      <w:r>
        <w:rPr>
          <w:b/>
          <w:bCs/>
        </w:rPr>
        <w:t>3,930 美元</w:t>
      </w:r>
      <w:r>
        <w:t xml:space="preserve">和 </w:t>
      </w:r>
      <w:r>
        <w:rPr>
          <w:b/>
          <w:bCs/>
        </w:rPr>
        <w:t>4,010 美元</w:t>
      </w:r>
      <w:r>
        <w:t xml:space="preserve">。相应的 ΔIV 分别约为 </w:t>
      </w:r>
      <w:r>
        <w:rPr>
          <w:b/>
          <w:bCs/>
        </w:rPr>
        <w:t>2.5 亿美元</w:t>
      </w:r>
      <w:r>
        <w:t xml:space="preserve">和 </w:t>
      </w:r>
      <w:r>
        <w:rPr>
          <w:b/>
          <w:bCs/>
        </w:rPr>
        <w:t>7.2 亿美元</w:t>
      </w:r>
      <w:r>
        <w:t>。此类下跌将使合约及其 ΔIV 回归历史合理区间（见图 5）。</w:t>
      </w:r>
    </w:p>
    <w:p w14:paraId="1F49D50A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E7EB5C0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28360" cy="4861560"/>
            <wp:effectExtent l="0" t="0" r="0" b="0"/>
            <wp:docPr id="19133832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83238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5</w:t>
      </w:r>
    </w:p>
    <w:p w14:paraId="0E0F6DC8">
      <w:r>
        <w:t xml:space="preserve">如上周报告所述，黄金的通胀预期溢价也提供另一种视角。若该值回到图 6 的红虚线位置，对应的金价约为 </w:t>
      </w:r>
      <w:r>
        <w:rPr>
          <w:b/>
          <w:bCs/>
        </w:rPr>
        <w:t>3,950 美元</w:t>
      </w:r>
      <w:r>
        <w:t>。</w:t>
      </w:r>
    </w:p>
    <w:p w14:paraId="00F33BD8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E4B8B10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1322907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07121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6</w:t>
      </w:r>
    </w:p>
    <w:p w14:paraId="0322A422">
      <w:r>
        <w:t xml:space="preserve">目前，我们维持主要下行目标区间 </w:t>
      </w:r>
      <w:r>
        <w:rPr>
          <w:b/>
          <w:bCs/>
        </w:rPr>
        <w:t>3,900 至 4,000 美元</w:t>
      </w:r>
      <w:r>
        <w:t>，但删除次要的更低目标，因为其不再可能。</w:t>
      </w:r>
    </w:p>
    <w:p w14:paraId="62FF579F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8D157D9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19577277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27752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15084603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60333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7</w:t>
      </w: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11487995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99526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1A45">
      <w:pPr>
        <w:rPr>
          <w:b/>
          <w:bCs/>
        </w:rPr>
      </w:pPr>
      <w:r>
        <w:rPr>
          <w:b/>
          <w:bCs/>
        </w:rPr>
        <w:t>图 8</w:t>
      </w:r>
    </w:p>
    <w:p w14:paraId="0E10750D">
      <w:pPr>
        <w:rPr>
          <w:b/>
          <w:bCs/>
        </w:rPr>
      </w:pPr>
      <w:r>
        <w:rPr>
          <w:b/>
          <w:bCs/>
        </w:rPr>
        <w:t>图 9</w:t>
      </w:r>
    </w:p>
    <w:p w14:paraId="28673F1A">
      <w:r>
        <w:t xml:space="preserve">期权到期后的周一结束后，Dec’25 合约将结算，接下来是 Jan’26 合约，该合约将参考 Feb’26 黄金期货价（约比现货高 30 美元）。当前其 max-pain 为 </w:t>
      </w:r>
      <w:r>
        <w:rPr>
          <w:b/>
          <w:bCs/>
        </w:rPr>
        <w:t>3,940 美元</w:t>
      </w:r>
      <w:r>
        <w:t xml:space="preserve">，远高于 Dec’25 合约的 </w:t>
      </w:r>
      <w:r>
        <w:rPr>
          <w:b/>
          <w:bCs/>
        </w:rPr>
        <w:t>3,805 美元</w:t>
      </w:r>
      <w:r>
        <w:t>。</w:t>
      </w:r>
    </w:p>
    <w:p w14:paraId="1BEC97F2">
      <w:r>
        <w:t xml:space="preserve">该合约较为均衡，其 ΔIV 仅为 </w:t>
      </w:r>
      <w:r>
        <w:rPr>
          <w:b/>
          <w:bCs/>
        </w:rPr>
        <w:t>1.94 亿美元</w:t>
      </w:r>
      <w:r>
        <w:t xml:space="preserve">，即便基础黄金价格已达 </w:t>
      </w:r>
      <w:r>
        <w:rPr>
          <w:b/>
          <w:bCs/>
        </w:rPr>
        <w:t>4,095 美元</w:t>
      </w:r>
      <w:r>
        <w:t>。鉴于过去两年黄金很少跌破前月的 max-pain 价，此价位可视为大致支撑。</w:t>
      </w:r>
    </w:p>
    <w:p w14:paraId="5E8DEE09">
      <w:r>
        <w:t>基于此，周一之后的现货黄金下限约为：</w:t>
      </w:r>
      <w:r>
        <w:br w:type="textWrapping"/>
      </w:r>
      <w:r>
        <w:rPr>
          <w:b/>
          <w:bCs/>
        </w:rPr>
        <w:t>3,940 - 30 ≈ 3,910 美元</w:t>
      </w:r>
      <w:r>
        <w:t>。</w:t>
      </w:r>
    </w:p>
    <w:p w14:paraId="05F1C848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79D330C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070860"/>
            <wp:effectExtent l="0" t="0" r="7620" b="0"/>
            <wp:docPr id="11635226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2269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10</w:t>
      </w:r>
    </w:p>
    <w:p w14:paraId="54BC1260"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E19BD7F">
      <w:pPr>
        <w:rPr>
          <w:b/>
          <w:bCs/>
        </w:rPr>
      </w:pPr>
      <w:r>
        <w:rPr>
          <w:b/>
          <w:bCs/>
        </w:rPr>
        <w:t>黄金的内在强势：期权交易量</w:t>
      </w:r>
    </w:p>
    <w:p w14:paraId="4C879C0F">
      <w:r>
        <w:t>虽然短期有下跌风险，但从黄金期权交易量可以看到黄金市场的内在强势。图 8 显示，看涨期权交易量的 30 日 EMA 正开始上升，且处于相对较高水平，这说明市场参与者可能已在布局更高价格。</w:t>
      </w:r>
    </w:p>
    <w:p w14:paraId="097ACD02"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7178C3C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505200"/>
            <wp:effectExtent l="0" t="0" r="7620" b="0"/>
            <wp:docPr id="10036398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39887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8</w:t>
      </w:r>
    </w:p>
    <w:p w14:paraId="6D6BB0B6">
      <w:r>
        <w:t>相反，看跌期权活动持续走低，说明对下行保护的需求下降。</w:t>
      </w:r>
    </w:p>
    <w:p w14:paraId="57672AEE"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BE6CD32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505200"/>
            <wp:effectExtent l="0" t="0" r="7620" b="0"/>
            <wp:docPr id="11789894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89472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9</w:t>
      </w:r>
    </w:p>
    <w:p w14:paraId="505ABDBF">
      <w:r>
        <w:t>因此，黄金的看跌/看涨比率重新回到下降趋势。基于这一点及上述其他数据，黄金</w:t>
      </w:r>
      <w:r>
        <w:rPr>
          <w:b/>
          <w:bCs/>
        </w:rPr>
        <w:t>不太可能跌破此前 10 月 28 日的 3,886 美元低点</w:t>
      </w:r>
      <w:r>
        <w:t>，若此成立，则该点位将是本周期的 ICL（中周期低点）。</w:t>
      </w:r>
    </w:p>
    <w:p w14:paraId="442E2646"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97F15C2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512820"/>
            <wp:effectExtent l="0" t="0" r="7620" b="0"/>
            <wp:docPr id="1852653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5322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10</w:t>
      </w:r>
    </w:p>
    <w:p w14:paraId="5B729482"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5B821AE">
      <w:pPr>
        <w:rPr>
          <w:b/>
          <w:bCs/>
        </w:rPr>
      </w:pPr>
      <w:r>
        <w:rPr>
          <w:b/>
          <w:bCs/>
        </w:rPr>
        <w:t>COMEX 黄金交割</w:t>
      </w:r>
    </w:p>
    <w:p w14:paraId="13F103FA">
      <w:r>
        <w:t xml:space="preserve">下周将结束 Nov’25 黄金期货合约的交割期（为非主要交割月）。目前已交割约 </w:t>
      </w:r>
      <w:r>
        <w:rPr>
          <w:b/>
          <w:bCs/>
        </w:rPr>
        <w:t>11,000 张合约（110 万盎司）</w:t>
      </w:r>
      <w:r>
        <w:t>。</w:t>
      </w:r>
    </w:p>
    <w:p w14:paraId="203259A6">
      <w:r>
        <w:t xml:space="preserve">自 12 月 1 日起，将进入 Dec’25 合约的交割期，其未平仓量很大，可能成为强交割月份。首次通知日为 </w:t>
      </w:r>
      <w:r>
        <w:rPr>
          <w:b/>
          <w:bCs/>
        </w:rPr>
        <w:t>11 月 28 日（周五）</w:t>
      </w:r>
      <w:r>
        <w:t>，届时将得知多少合约进入交割。</w:t>
      </w:r>
    </w:p>
    <w:p w14:paraId="46A60840">
      <w:r>
        <w:t>历史上，当交割量超过 **4 万张（400 万盎司）**时，该交割月期间黄金价格表现通常较强。</w:t>
      </w:r>
    </w:p>
    <w:p w14:paraId="6A975C02"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BB1B3FC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11629582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58217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11</w:t>
      </w:r>
    </w:p>
    <w:p w14:paraId="7B529CAA"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B5128F5">
      <w:pPr>
        <w:rPr>
          <w:b/>
          <w:bCs/>
        </w:rPr>
      </w:pPr>
      <w:r>
        <w:rPr>
          <w:b/>
          <w:bCs/>
        </w:rPr>
        <w:t>白银</w:t>
      </w:r>
    </w:p>
    <w:p w14:paraId="639D1AF0">
      <w:r>
        <w:t>与黄金类似，白银也处于等待状态。如果黄金短期走弱，白银大概率也会承压。尽管白银目标区间分辨率较低，我们的宽区间为</w:t>
      </w:r>
      <w:r>
        <w:rPr>
          <w:b/>
          <w:bCs/>
        </w:rPr>
        <w:t>2.8% 支撑带的上半部分，对应 46 至 49 美元</w:t>
      </w:r>
      <w:r>
        <w:t>。</w:t>
      </w:r>
    </w:p>
    <w:p w14:paraId="1D1F6486"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8601B68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356358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5899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drawing>
          <wp:inline distT="0" distB="0" distL="0" distR="0">
            <wp:extent cx="5928360" cy="3749040"/>
            <wp:effectExtent l="0" t="0" r="0" b="3810"/>
            <wp:docPr id="16674771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77156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12</w:t>
      </w: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878489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8923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3D7E">
      <w:pPr>
        <w:rPr>
          <w:b/>
          <w:bCs/>
        </w:rPr>
      </w:pPr>
      <w:r>
        <w:rPr>
          <w:b/>
          <w:bCs/>
        </w:rPr>
        <w:t>图 13</w:t>
      </w:r>
    </w:p>
    <w:p w14:paraId="292C0D60">
      <w:pPr>
        <w:rPr>
          <w:b/>
          <w:bCs/>
        </w:rPr>
      </w:pPr>
      <w:r>
        <w:rPr>
          <w:b/>
          <w:bCs/>
        </w:rPr>
        <w:t>图 14</w:t>
      </w:r>
    </w:p>
    <w:p w14:paraId="1A09E66E">
      <w:r>
        <w:t xml:space="preserve">本周 Dec’25 白银期权的 max-pain 上升 0.50 美元至 </w:t>
      </w:r>
      <w:r>
        <w:rPr>
          <w:b/>
          <w:bCs/>
        </w:rPr>
        <w:t>46.50 美元</w:t>
      </w:r>
      <w:r>
        <w:t xml:space="preserve">，ΔIV 为 </w:t>
      </w:r>
      <w:r>
        <w:rPr>
          <w:b/>
          <w:bCs/>
        </w:rPr>
        <w:t>1.15 亿美元</w:t>
      </w:r>
      <w:r>
        <w:t>。</w:t>
      </w:r>
    </w:p>
    <w:p w14:paraId="08D9D98A"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87B32DD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070860"/>
            <wp:effectExtent l="0" t="0" r="7620" b="0"/>
            <wp:docPr id="18359673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67363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15</w:t>
      </w:r>
    </w:p>
    <w:p w14:paraId="195B16D0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28360" cy="3627120"/>
            <wp:effectExtent l="0" t="0" r="0" b="0"/>
            <wp:docPr id="8182799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79935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16</w:t>
      </w:r>
    </w:p>
    <w:p w14:paraId="5686EAD3">
      <w:r>
        <w:t xml:space="preserve">周一 Dec’25 合约到期后，将进入 Jan’26 合约，该合约将参考 Mar’26 白银期货价。当前 Jan’26 的 max-pain 为 </w:t>
      </w:r>
      <w:r>
        <w:rPr>
          <w:b/>
          <w:bCs/>
        </w:rPr>
        <w:t>49.50 美元</w:t>
      </w:r>
      <w:r>
        <w:t xml:space="preserve">，ΔIV 很小，仅 </w:t>
      </w:r>
      <w:r>
        <w:rPr>
          <w:b/>
          <w:bCs/>
        </w:rPr>
        <w:t>2,200 万美元</w:t>
      </w:r>
      <w:r>
        <w:t>。</w:t>
      </w:r>
    </w:p>
    <w:p w14:paraId="10EB8283"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5FA979C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070860"/>
            <wp:effectExtent l="0" t="0" r="7620" b="0"/>
            <wp:docPr id="12889895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89505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17</w:t>
      </w:r>
    </w:p>
    <w:p w14:paraId="6997021A"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13895C1">
      <w:pPr>
        <w:rPr>
          <w:b/>
          <w:bCs/>
        </w:rPr>
      </w:pPr>
      <w:r>
        <w:rPr>
          <w:b/>
          <w:bCs/>
        </w:rPr>
        <w:t>债券</w:t>
      </w:r>
    </w:p>
    <w:p w14:paraId="52D6060C">
      <w:r>
        <w:t xml:space="preserve">过去几个月，中期债券（如 IEF：7—10 年美债 ETF）需求显著增长。从 10 月中旬至今，其流通股数增加了 </w:t>
      </w:r>
      <w:r>
        <w:rPr>
          <w:b/>
          <w:bCs/>
        </w:rPr>
        <w:t>6,200 万份（+15.5%）</w:t>
      </w:r>
      <w:r>
        <w:t>。这说明收益率曲线中段比长期更受避险资金青睐，因为 TLT（20 年以上美债 ETF）同期流通股数几乎未变。</w:t>
      </w:r>
    </w:p>
    <w:p w14:paraId="77B2DAA4"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37AAF14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4732020"/>
            <wp:effectExtent l="0" t="0" r="7620" b="0"/>
            <wp:docPr id="5948143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4365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18</w:t>
      </w:r>
    </w:p>
    <w:p w14:paraId="349B6284">
      <w:r>
        <w:t>10 年期国债价格持续上行，但位于此前通道的下沿（见图 19 &amp; 20）。</w:t>
      </w:r>
    </w:p>
    <w:p w14:paraId="481F2A09">
      <w:r>
        <w:pict>
          <v:rect id="_x0000_i104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E9C6B11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3340228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22814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15413957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95712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5967875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7518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19</w:t>
      </w:r>
    </w:p>
    <w:p w14:paraId="01C4562D">
      <w:pPr>
        <w:rPr>
          <w:b/>
          <w:bCs/>
        </w:rPr>
      </w:pPr>
      <w:r>
        <w:rPr>
          <w:b/>
          <w:bCs/>
        </w:rPr>
        <w:t>图 20</w:t>
      </w:r>
    </w:p>
    <w:p w14:paraId="642ABE82">
      <w:pPr>
        <w:rPr>
          <w:b/>
          <w:bCs/>
        </w:rPr>
      </w:pPr>
      <w:r>
        <w:rPr>
          <w:b/>
          <w:bCs/>
        </w:rPr>
        <w:t>图 21</w:t>
      </w:r>
    </w:p>
    <w:p w14:paraId="56DB69FA">
      <w:r>
        <w:pict>
          <v:rect id="_x0000_i104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A7D8A1E">
      <w:pPr>
        <w:rPr>
          <w:b/>
          <w:bCs/>
        </w:rPr>
      </w:pPr>
      <w:r>
        <w:rPr>
          <w:b/>
          <w:bCs/>
        </w:rPr>
        <w:t>股市</w:t>
      </w:r>
    </w:p>
    <w:p w14:paraId="7D2862C2">
      <w:r>
        <w:t>黄金出现主要周期高点的条件之一是股市出现明显的下降趋势。在过去两次周期中，黄金在 S&amp;P500 回落至其 3 年均线时见顶。本周，股市根据其标准化走势图（图 22）显示可能处于转弱早期阶段，但需要更多确认。</w:t>
      </w:r>
    </w:p>
    <w:p w14:paraId="11619FB8">
      <w:r>
        <w:pict>
          <v:rect id="_x0000_i104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9391767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10881572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57264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drawing>
          <wp:inline distT="0" distB="0" distL="0" distR="0">
            <wp:extent cx="5935980" cy="3749040"/>
            <wp:effectExtent l="0" t="0" r="7620" b="3810"/>
            <wp:docPr id="5156910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91099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图 22</w:t>
      </w:r>
    </w:p>
    <w:p w14:paraId="4E43C826">
      <w:pPr>
        <w:rPr>
          <w:b/>
          <w:bCs/>
        </w:rPr>
      </w:pPr>
      <w:r>
        <w:rPr>
          <w:b/>
          <w:bCs/>
        </w:rPr>
        <w:t>图 23</w:t>
      </w:r>
    </w:p>
    <w:p w14:paraId="19622BB4">
      <w:r>
        <w:pict>
          <v:rect id="_x0000_i104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6336052">
      <w:pPr>
        <w:rPr>
          <w:b/>
          <w:bCs/>
        </w:rPr>
      </w:pPr>
      <w:r>
        <w:rPr>
          <w:b/>
          <w:bCs/>
        </w:rPr>
        <w:t>说明：</w:t>
      </w:r>
    </w:p>
    <w:p w14:paraId="5C031203">
      <w:r>
        <w:t>由于周六日程繁忙，本报告在周五期权数据发布前发布。若出现重要数据，将在周末稍后发布于聊天频道。</w:t>
      </w:r>
    </w:p>
    <w:p w14:paraId="7CD6F053">
      <w:r>
        <w:pict>
          <v:rect id="_x0000_i104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CCEAE4A">
      <w:pPr>
        <w:rPr>
          <w:b/>
          <w:bCs/>
        </w:rPr>
      </w:pPr>
      <w:r>
        <w:rPr>
          <w:b/>
          <w:bCs/>
        </w:rPr>
        <w:t>总结</w:t>
      </w:r>
    </w:p>
    <w:p w14:paraId="00013CC1">
      <w:r>
        <w:t>下周一是期权到期日，虽然本周 ΔIV 已下降，但仍处于高位，这意味着金价仍可能在周一出现向下压力。由于金价目前处于一个月盘整三角形的下沿附近，非常容易被诱导跌破并触发抛售。风险较高。如果发生，我们应将其视为</w:t>
      </w:r>
      <w:r>
        <w:rPr>
          <w:b/>
          <w:bCs/>
        </w:rPr>
        <w:t>快速反转的假跌破</w:t>
      </w:r>
      <w:r>
        <w:t>，特别是在进入 12 月后。</w:t>
      </w:r>
    </w:p>
    <w:p w14:paraId="4A8472DB">
      <w:r>
        <w:rPr>
          <w:b/>
          <w:bCs/>
        </w:rPr>
        <w:t>下周（尤其周一）的黄金下行目标维持在 3,900 — 4,000 美元。</w:t>
      </w:r>
      <w:r>
        <w:br w:type="textWrapping"/>
      </w:r>
      <w:r>
        <w:t xml:space="preserve">白银目标区间为 </w:t>
      </w:r>
      <w:r>
        <w:rPr>
          <w:b/>
          <w:bCs/>
        </w:rPr>
        <w:t>46 — 49 美元</w:t>
      </w:r>
      <w:r>
        <w:t>。</w:t>
      </w:r>
    </w:p>
    <w:p w14:paraId="563724FC">
      <w:r>
        <w:t>黄金与白银下一轮中周期上涨阶段的中期上涨目标不变：</w:t>
      </w:r>
    </w:p>
    <w:p w14:paraId="1C92AEB1">
      <w:pPr>
        <w:numPr>
          <w:ilvl w:val="0"/>
          <w:numId w:val="1"/>
        </w:numPr>
      </w:pPr>
      <w:r>
        <w:rPr>
          <w:b/>
          <w:bCs/>
        </w:rPr>
        <w:t>黄金：4,900 — 5,200 美元</w:t>
      </w:r>
    </w:p>
    <w:p w14:paraId="4244794B">
      <w:pPr>
        <w:numPr>
          <w:ilvl w:val="0"/>
          <w:numId w:val="1"/>
        </w:numPr>
      </w:pPr>
      <w:r>
        <w:rPr>
          <w:b/>
          <w:bCs/>
        </w:rPr>
        <w:t>白银：82 — 98 美元</w:t>
      </w:r>
    </w:p>
    <w:p w14:paraId="22CEEDA8"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ptos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C6E4A72"/>
    <w:multiLevelType w:val="multilevel"/>
    <w:tmpl w:val="4C6E4A7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1E3E"/>
    <w:rsid w:val="00E62BDA"/>
    <w:rsid w:val="00F81E3E"/>
    <w:rsid w:val="796D3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4">
    <w:name w:val="Default Paragraph Font"/>
    <w:unhideWhenUsed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4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6">
    <w:name w:val="Heading 2 Char"/>
    <w:basedOn w:val="14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7">
    <w:name w:val="Heading 3 Char"/>
    <w:basedOn w:val="14"/>
    <w:link w:val="4"/>
    <w:semiHidden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18">
    <w:name w:val="Heading 4 Char"/>
    <w:basedOn w:val="14"/>
    <w:link w:val="5"/>
    <w:semiHidden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19">
    <w:name w:val="Heading 5 Char"/>
    <w:basedOn w:val="14"/>
    <w:link w:val="6"/>
    <w:semiHidden/>
    <w:uiPriority w:val="9"/>
    <w:rPr>
      <w:rFonts w:eastAsiaTheme="majorEastAsia" w:cstheme="majorBidi"/>
      <w:color w:val="104862" w:themeColor="accent1" w:themeShade="BF"/>
    </w:rPr>
  </w:style>
  <w:style w:type="character" w:customStyle="1" w:styleId="20">
    <w:name w:val="Heading 6 Char"/>
    <w:basedOn w:val="14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4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4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4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4"/>
    <w:link w:val="12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4"/>
    <w:link w:val="11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4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4"/>
    <w:qFormat/>
    <w:uiPriority w:val="21"/>
    <w:rPr>
      <w:i/>
      <w:iCs/>
      <w:color w:val="104862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1">
    <w:name w:val="Intense Quote Char"/>
    <w:basedOn w:val="14"/>
    <w:link w:val="30"/>
    <w:qFormat/>
    <w:uiPriority w:val="30"/>
    <w:rPr>
      <w:i/>
      <w:iCs/>
      <w:color w:val="104862" w:themeColor="accent1" w:themeShade="BF"/>
    </w:rPr>
  </w:style>
  <w:style w:type="character" w:customStyle="1" w:styleId="32">
    <w:name w:val="Intense Reference"/>
    <w:basedOn w:val="14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Halifax Regional Municipality</Company>
  <Pages>22</Pages>
  <Words>1812</Words>
  <Characters>2156</Characters>
  <Lines>85</Lines>
  <Paragraphs>76</Paragraphs>
  <TotalTime>4</TotalTime>
  <ScaleCrop>false</ScaleCrop>
  <LinksUpToDate>false</LinksUpToDate>
  <CharactersWithSpaces>2372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2025-11-22T14:43:00Z</dcterms:created>
  <dc:creator>Lu, Lilan</dc:creator>
  <cp:lastModifiedBy>yuecong</cp:lastModifiedBy>
  <dcterms:modified xsi:type="dcterms:W3CDTF">2026-01-26T01:08:39Z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E70A979DA34743B19D8C149BC621D85E_13</vt:lpwstr>
  </property>
</Properties>
</file>